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ED4537" w:rsidP="00BD4751">
      <w:pPr>
        <w:shd w:val="clear" w:color="auto" w:fill="76923C" w:themeFill="accent3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2105025" cy="180242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73" cy="1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762125" cy="1762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BD4751">
      <w:pPr>
        <w:pStyle w:val="BodyText"/>
        <w:shd w:val="clear" w:color="auto" w:fill="76923C" w:themeFill="accent3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BD4751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BD4751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12/5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BD4751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C5CCA" w:rsidRDefault="00CC5CC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BD4751" w:rsidRDefault="00BD475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BD4751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12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BD4751">
              <w:rPr>
                <w:rFonts w:ascii="Comic Sans MS" w:hAnsi="Comic Sans MS"/>
                <w:szCs w:val="24"/>
              </w:rPr>
              <w:t>numbers, twelve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BD4751">
              <w:rPr>
                <w:rFonts w:ascii="Comic Sans MS" w:hAnsi="Comic Sans MS"/>
                <w:szCs w:val="24"/>
              </w:rPr>
              <w:t xml:space="preserve"> twelve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BD4751">
              <w:rPr>
                <w:rFonts w:ascii="Comic Sans MS" w:hAnsi="Comic Sans MS"/>
                <w:szCs w:val="24"/>
              </w:rPr>
              <w:t xml:space="preserve"> Identify and sort the number 12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BD4751">
              <w:rPr>
                <w:rFonts w:ascii="Comic Sans MS" w:hAnsi="Comic Sans MS"/>
                <w:szCs w:val="24"/>
              </w:rPr>
              <w:t>Number 12 game, identify number 12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 Best Friends. Writing numbers. </w:t>
            </w:r>
            <w:r w:rsidR="00D94E20">
              <w:rPr>
                <w:rFonts w:ascii="Comic Sans MS" w:hAnsi="Comic Sans MS"/>
                <w:szCs w:val="24"/>
              </w:rPr>
              <w:t xml:space="preserve"> Review numbers 1-10.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BD4751">
              <w:rPr>
                <w:rFonts w:ascii="Comic Sans MS" w:hAnsi="Comic Sans MS"/>
                <w:szCs w:val="24"/>
              </w:rPr>
              <w:t xml:space="preserve"> Gingerbread man math.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6A35A9" w:rsidRDefault="006A35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D94E20">
              <w:rPr>
                <w:rFonts w:ascii="Comic Sans MS" w:hAnsi="Comic Sans MS"/>
              </w:rPr>
              <w:t>Winter books and weather books.</w:t>
            </w:r>
            <w:r w:rsidR="00244352">
              <w:rPr>
                <w:rFonts w:ascii="Comic Sans MS" w:hAnsi="Comic Sans MS"/>
              </w:rPr>
              <w:t xml:space="preserve"> </w:t>
            </w:r>
            <w:r w:rsidR="00D94E20">
              <w:rPr>
                <w:rFonts w:ascii="Comic Sans MS" w:hAnsi="Comic Sans MS"/>
              </w:rPr>
              <w:t xml:space="preserve"> Christmas books. Station- Library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0E7D81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</w:t>
            </w:r>
            <w:r w:rsidR="00E105CD">
              <w:rPr>
                <w:rFonts w:ascii="Comic Sans MS" w:hAnsi="Comic Sans MS"/>
              </w:rPr>
              <w:t>w of all the colors we have learned. Sing and Read all songs we have learned. Practice recognizing/writing the colors.</w:t>
            </w:r>
            <w:r w:rsidR="00FE0F1D">
              <w:rPr>
                <w:rFonts w:ascii="Comic Sans MS" w:hAnsi="Comic Sans MS"/>
              </w:rPr>
              <w:t xml:space="preserve">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 w:rsidR="002F328B">
              <w:rPr>
                <w:rFonts w:ascii="Comic Sans MS" w:hAnsi="Comic Sans MS"/>
              </w:rPr>
              <w:t>ead a</w:t>
            </w:r>
            <w:r w:rsidR="00BD4751">
              <w:rPr>
                <w:rFonts w:ascii="Comic Sans MS" w:hAnsi="Comic Sans MS"/>
              </w:rPr>
              <w:t>bout orange</w:t>
            </w:r>
            <w:r w:rsidR="00D94E20">
              <w:rPr>
                <w:rFonts w:ascii="Comic Sans MS" w:hAnsi="Comic Sans MS"/>
              </w:rPr>
              <w:t xml:space="preserve">. </w:t>
            </w: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BD4751" w:rsidRDefault="00BD4751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BD4751">
              <w:rPr>
                <w:rFonts w:ascii="Comic Sans MS" w:hAnsi="Comic Sans MS"/>
              </w:rPr>
              <w:t>umbers (always start at the top). Writing the color words.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D94E20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Seasons. What are the four seasons? What kind of weather helps us know what season it is? What happens to the trees?</w:t>
            </w:r>
            <w:r w:rsidR="00BD4751">
              <w:rPr>
                <w:rFonts w:ascii="Comic Sans MS" w:hAnsi="Comic Sans MS"/>
              </w:rPr>
              <w:t xml:space="preserve"> Winter season. How we know it is winter. Types of trees.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D94E20" w:rsidRDefault="00D94E20" w:rsidP="00BD475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14E4E" w:rsidRDefault="00914E4E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14E4E" w:rsidRDefault="00914E4E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*December 10</w:t>
            </w:r>
            <w:r w:rsidRPr="00914E4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Winter Festival</w:t>
            </w:r>
          </w:p>
          <w:p w:rsidR="00BD4751" w:rsidRDefault="00BD4751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BD4751" w:rsidRPr="00D94E20" w:rsidRDefault="00BD4751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*Winter Break-December 19</w:t>
            </w:r>
            <w:r w:rsidRPr="00BD475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-January 3</w:t>
            </w:r>
            <w:r w:rsidRPr="00BD4751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4B7F32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BD4751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trees. Handprint tree. Free painting.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E7D81"/>
    <w:rsid w:val="00167C26"/>
    <w:rsid w:val="001B0831"/>
    <w:rsid w:val="001D7205"/>
    <w:rsid w:val="00207A08"/>
    <w:rsid w:val="00224E3C"/>
    <w:rsid w:val="00225F1A"/>
    <w:rsid w:val="00244352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35426"/>
    <w:rsid w:val="005C069B"/>
    <w:rsid w:val="005C1516"/>
    <w:rsid w:val="00631EE0"/>
    <w:rsid w:val="006A35A9"/>
    <w:rsid w:val="006B3CDD"/>
    <w:rsid w:val="00704F2B"/>
    <w:rsid w:val="00792D93"/>
    <w:rsid w:val="007D13D6"/>
    <w:rsid w:val="008148D2"/>
    <w:rsid w:val="00814EE3"/>
    <w:rsid w:val="008A3D31"/>
    <w:rsid w:val="008E4001"/>
    <w:rsid w:val="00914E4E"/>
    <w:rsid w:val="009A37A7"/>
    <w:rsid w:val="009C6866"/>
    <w:rsid w:val="009E17D8"/>
    <w:rsid w:val="00A80F14"/>
    <w:rsid w:val="00AF21B4"/>
    <w:rsid w:val="00B27774"/>
    <w:rsid w:val="00BB3385"/>
    <w:rsid w:val="00BB3C55"/>
    <w:rsid w:val="00BC3545"/>
    <w:rsid w:val="00BD4751"/>
    <w:rsid w:val="00BE0D48"/>
    <w:rsid w:val="00C05A60"/>
    <w:rsid w:val="00CC5CCA"/>
    <w:rsid w:val="00CD3382"/>
    <w:rsid w:val="00CE1AD9"/>
    <w:rsid w:val="00D242D6"/>
    <w:rsid w:val="00D94E20"/>
    <w:rsid w:val="00DD2257"/>
    <w:rsid w:val="00E105CD"/>
    <w:rsid w:val="00E246A0"/>
    <w:rsid w:val="00ED4537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YH</cp:lastModifiedBy>
  <cp:revision>2</cp:revision>
  <cp:lastPrinted>2113-01-01T07:00:00Z</cp:lastPrinted>
  <dcterms:created xsi:type="dcterms:W3CDTF">2011-12-05T00:11:00Z</dcterms:created>
  <dcterms:modified xsi:type="dcterms:W3CDTF">2011-12-05T00:11:00Z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